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SINGLE-MEMBER LIMITED LIABILITY COMPANY OPERATING AGREEMENT</w:t>
      </w:r>
    </w:p>
    <w:p>
      <w:pPr>
        <w:spacing w:after="120"/>
        <w:jc w:val="center"/>
      </w:pPr>
      <w:r>
        <w:rPr>
          <w:b/>
          <w:sz w:val="22"/>
        </w:rPr>
        <w:t>OF  ____________________________  (Company Name)</w:t>
      </w:r>
    </w:p>
    <w:p>
      <w:pPr>
        <w:spacing w:after="120"/>
        <w:jc w:val="center"/>
      </w:pPr>
      <w:r>
        <w:rPr>
          <w:b w:val="0"/>
          <w:sz w:val="22"/>
        </w:rPr>
        <w:t>A limited liability company organized under the laws of the State of ____________________  (State)</w:t>
      </w:r>
    </w:p>
    <w:p>
      <w:pPr>
        <w:spacing w:after="280"/>
        <w:jc w:val="center"/>
      </w:pPr>
      <w:r>
        <w:rPr>
          <w:b w:val="0"/>
          <w:sz w:val="22"/>
        </w:rPr>
        <w:t>Effective Date: ____________________  (Date)</w:t>
      </w:r>
    </w:p>
    <w:p>
      <w:pPr>
        <w:spacing w:after="240"/>
      </w:pPr>
      <w:r>
        <w:rPr>
          <w:b w:val="0"/>
          <w:sz w:val="22"/>
        </w:rPr>
        <w:t>This Operating Agreement (this "Agreement") is adopted by the undersigned sole member (the "Member") of the above-named limited liability company (the "Company").</w:t>
      </w:r>
    </w:p>
    <w:p>
      <w:pPr>
        <w:pStyle w:val="Heading1"/>
      </w:pPr>
      <w:r>
        <w:t>ARTICLE I — FORMATION</w:t>
      </w:r>
    </w:p>
    <w:p>
      <w:pPr>
        <w:spacing w:after="120"/>
      </w:pPr>
      <w:r>
        <w:rPr>
          <w:b w:val="0"/>
          <w:sz w:val="22"/>
        </w:rPr>
        <w:t>I.1  Formation. The Company was formed as a limited liability company under the laws of the State named above upon the filing of its articles of organization (or equivalent formation document) with the state filing office.</w:t>
      </w:r>
    </w:p>
    <w:p>
      <w:pPr>
        <w:spacing w:after="120"/>
      </w:pPr>
      <w:r>
        <w:rPr>
          <w:b w:val="0"/>
          <w:sz w:val="22"/>
        </w:rPr>
        <w:t>I.2  Name. The business of the Company shall be conducted under the name set forth above or such other name as the Member may select in accordance with applicable law.</w:t>
      </w:r>
    </w:p>
    <w:p>
      <w:pPr>
        <w:spacing w:after="120"/>
      </w:pPr>
      <w:r>
        <w:rPr>
          <w:b w:val="0"/>
          <w:sz w:val="22"/>
        </w:rPr>
        <w:t>I.3  Registered Office and Agent. The Company shall continuously maintain a registered office and registered agent in its state of formation as required by law. The registered agent and office may be changed as permitted by law.</w:t>
      </w:r>
    </w:p>
    <w:p>
      <w:pPr>
        <w:spacing w:after="120"/>
      </w:pPr>
      <w:r>
        <w:rPr>
          <w:b w:val="0"/>
          <w:sz w:val="22"/>
        </w:rPr>
        <w:t>I.4  Term. The Company shall have a perpetual existence unless dissolved in accordance with this Agreement or applicable law.</w:t>
      </w:r>
    </w:p>
    <w:p>
      <w:pPr>
        <w:pStyle w:val="Heading1"/>
      </w:pPr>
      <w:r>
        <w:t>ARTICLE II — PURPOSE AND POWERS</w:t>
      </w:r>
    </w:p>
    <w:p>
      <w:pPr>
        <w:spacing w:after="120"/>
      </w:pPr>
      <w:r>
        <w:rPr>
          <w:b w:val="0"/>
          <w:sz w:val="22"/>
        </w:rPr>
        <w:t>II.1  Purpose. The Company is organized to engage in any lawful business activity for which a limited liability company may be organized under the laws of its state of formation.</w:t>
      </w:r>
    </w:p>
    <w:p>
      <w:pPr>
        <w:spacing w:after="120"/>
      </w:pPr>
      <w:r>
        <w:rPr>
          <w:b w:val="0"/>
          <w:sz w:val="22"/>
        </w:rPr>
        <w:t>II.2  Powers. The Company shall have all powers necessary or convenient to carry out its purposes, including all powers granted by applicable law.</w:t>
      </w:r>
    </w:p>
    <w:p>
      <w:pPr>
        <w:pStyle w:val="Heading1"/>
      </w:pPr>
      <w:r>
        <w:t>ARTICLE III — MEMBER AND OWNERSHIP</w:t>
      </w:r>
    </w:p>
    <w:p>
      <w:pPr>
        <w:spacing w:after="120"/>
      </w:pPr>
      <w:r>
        <w:rPr>
          <w:b w:val="0"/>
          <w:sz w:val="22"/>
        </w:rPr>
        <w:t>III.1  Sole Member. The Member is the sole member of the Company and owns one hundred percent (100%) of the membership interests in the Company.</w:t>
      </w:r>
    </w:p>
    <w:p>
      <w:pPr>
        <w:spacing w:after="120"/>
      </w:pPr>
      <w:r>
        <w:rPr>
          <w:b w:val="0"/>
          <w:sz w:val="22"/>
        </w:rPr>
        <w:t>III.2  Liability of Member. The Member shall not be personally liable for the debts, obligations, or liabilities of the Company solely by reason of being a member, except as otherwise required by law.</w:t>
      </w:r>
    </w:p>
    <w:p>
      <w:pPr>
        <w:spacing w:after="120"/>
      </w:pPr>
      <w:r>
        <w:rPr>
          <w:b w:val="0"/>
          <w:sz w:val="22"/>
        </w:rPr>
        <w:t>III.3  Separateness. The Member shall maintain the Company’s funds and assets separate from personal funds and assets, maintain accurate records, and observe formalities appropriate to preserve the Company’s separate legal existence.</w:t>
      </w:r>
    </w:p>
    <w:p>
      <w:pPr>
        <w:pStyle w:val="Heading1"/>
      </w:pPr>
      <w:r>
        <w:t>ARTICLE IV — CAPITAL CONTRIBUTIONS</w:t>
      </w:r>
    </w:p>
    <w:p>
      <w:pPr>
        <w:spacing w:after="120"/>
      </w:pPr>
      <w:r>
        <w:rPr>
          <w:b w:val="0"/>
          <w:sz w:val="22"/>
        </w:rPr>
        <w:t>IV.1  Initial Contribution. The Member has contributed to the Company the cash and/or property described in the Company’s records as the Member’s initial capital contribution.</w:t>
      </w:r>
    </w:p>
    <w:p>
      <w:pPr>
        <w:spacing w:after="120"/>
      </w:pPr>
      <w:r>
        <w:rPr>
          <w:b w:val="0"/>
          <w:sz w:val="22"/>
        </w:rPr>
        <w:t>IV.2  Additional Contributions. The Member may, but is not required to, make additional capital contributions.</w:t>
      </w:r>
    </w:p>
    <w:p>
      <w:pPr>
        <w:spacing w:after="120"/>
      </w:pPr>
      <w:r>
        <w:rPr>
          <w:b w:val="0"/>
          <w:sz w:val="22"/>
        </w:rPr>
        <w:t>IV.3  No Interest. No interest shall accrue or be paid on any capital contribution.</w:t>
      </w:r>
    </w:p>
    <w:p>
      <w:pPr>
        <w:pStyle w:val="Heading1"/>
      </w:pPr>
      <w:r>
        <w:t>ARTICLE V — MANAGEMENT</w:t>
      </w:r>
    </w:p>
    <w:p>
      <w:pPr>
        <w:spacing w:after="120"/>
      </w:pPr>
      <w:r>
        <w:rPr>
          <w:b w:val="0"/>
          <w:sz w:val="22"/>
        </w:rPr>
        <w:t>V.1  Management by Member. The Company shall be managed by its Member. The Member shall have full and exclusive authority to manage the business and affairs of the Company and to bind the Company.</w:t>
      </w:r>
    </w:p>
    <w:p>
      <w:pPr>
        <w:spacing w:after="120"/>
      </w:pPr>
      <w:r>
        <w:rPr>
          <w:b w:val="0"/>
          <w:sz w:val="22"/>
        </w:rPr>
        <w:t>V.2  Officers. The Member may appoint one or more officers or agents to act on behalf of the Company and may delegate duties to them.</w:t>
      </w:r>
    </w:p>
    <w:p>
      <w:pPr>
        <w:spacing w:after="120"/>
      </w:pPr>
      <w:r>
        <w:rPr>
          <w:b w:val="0"/>
          <w:sz w:val="22"/>
        </w:rPr>
        <w:t>V.3  Compensation and Reimbursement. The Member shall be reimbursed for reasonable expenses incurred on behalf of the Company and may receive compensation for services as determined by the Member.</w:t>
      </w:r>
    </w:p>
    <w:p>
      <w:pPr>
        <w:pStyle w:val="Heading1"/>
      </w:pPr>
      <w:r>
        <w:t>ARTICLE VI — DISTRIBUTIONS AND ALLOCATIONS</w:t>
      </w:r>
    </w:p>
    <w:p>
      <w:pPr>
        <w:spacing w:after="120"/>
      </w:pPr>
      <w:r>
        <w:rPr>
          <w:b w:val="0"/>
          <w:sz w:val="22"/>
        </w:rPr>
        <w:t>VI.1  Distributions. Distributions of cash or other assets shall be made to the Member at such times and in such amounts as the Member determines.</w:t>
      </w:r>
    </w:p>
    <w:p>
      <w:pPr>
        <w:spacing w:after="120"/>
      </w:pPr>
      <w:r>
        <w:rPr>
          <w:b w:val="0"/>
          <w:sz w:val="22"/>
        </w:rPr>
        <w:t>VI.2  Allocations. All items of income, gain, loss, deduction, and credit of the Company shall be allocated to the Member.</w:t>
      </w:r>
    </w:p>
    <w:p>
      <w:pPr>
        <w:spacing w:after="120"/>
      </w:pPr>
      <w:r>
        <w:rPr>
          <w:b w:val="0"/>
          <w:sz w:val="22"/>
        </w:rPr>
        <w:t>VI.3  Limitations. No distribution shall be made if, after giving effect to it, the Company would be unable to pay its debts as they become due in the ordinary course of business, or as otherwise prohibited by applicable law.</w:t>
      </w:r>
    </w:p>
    <w:p>
      <w:pPr>
        <w:pStyle w:val="Heading1"/>
      </w:pPr>
      <w:r>
        <w:t>ARTICLE VII — TAXES, BOOKS, AND RECORDS</w:t>
      </w:r>
    </w:p>
    <w:p>
      <w:pPr>
        <w:spacing w:after="120"/>
      </w:pPr>
      <w:r>
        <w:rPr>
          <w:b w:val="0"/>
          <w:sz w:val="22"/>
        </w:rPr>
        <w:t>VII.1  Tax Classification. Unless the Member elects otherwise, the Company shall be disregarded as an entity separate from its owner for federal income tax purposes.</w:t>
      </w:r>
    </w:p>
    <w:p>
      <w:pPr>
        <w:spacing w:after="120"/>
      </w:pPr>
      <w:r>
        <w:rPr>
          <w:b w:val="0"/>
          <w:sz w:val="22"/>
        </w:rPr>
        <w:t>VII.2  Books and Records. The Company shall keep complete and accurate books and records of its business and affairs at its principal office.</w:t>
      </w:r>
    </w:p>
    <w:p>
      <w:pPr>
        <w:spacing w:after="120"/>
      </w:pPr>
      <w:r>
        <w:rPr>
          <w:b w:val="0"/>
          <w:sz w:val="22"/>
        </w:rPr>
        <w:t>VII.3  Bank Accounts. All funds of the Company shall be deposited in one or more accounts in the Company’s name. Company funds shall not be commingled with personal funds.</w:t>
      </w:r>
    </w:p>
    <w:p>
      <w:pPr>
        <w:spacing w:after="120"/>
      </w:pPr>
      <w:r>
        <w:rPr>
          <w:b w:val="0"/>
          <w:sz w:val="22"/>
        </w:rPr>
        <w:t>VII.4  Fiscal Year. The fiscal year of the Company shall be the calendar year unless otherwise determined in accordance with this Agreement.</w:t>
      </w:r>
    </w:p>
    <w:p>
      <w:pPr>
        <w:pStyle w:val="Heading1"/>
      </w:pPr>
      <w:r>
        <w:t>ARTICLE VIII — TRANSFER OF INTEREST</w:t>
      </w:r>
    </w:p>
    <w:p>
      <w:pPr>
        <w:spacing w:after="120"/>
      </w:pPr>
      <w:r>
        <w:rPr>
          <w:b w:val="0"/>
          <w:sz w:val="22"/>
        </w:rPr>
        <w:t>VIII.1  Transfer. The Member may sell, assign, or otherwise transfer all or any portion of the Member’s interest in the Company at any time. Upon a transfer of the entire interest, the transferee shall be admitted as the member of the Company upon executing a counterpart of this Agreement or a new operating agreement.</w:t>
      </w:r>
    </w:p>
    <w:p>
      <w:pPr>
        <w:spacing w:after="120"/>
      </w:pPr>
      <w:r>
        <w:rPr>
          <w:b w:val="0"/>
          <w:sz w:val="22"/>
        </w:rPr>
        <w:t>VIII.2  Death or Incapacity. Upon the death or incapacity of the Member, the Member’s interest shall pass to the Member’s estate, designated beneficiary, or legal representative, who may exercise the Member’s rights for purposes of settling the estate or administering the interest.</w:t>
      </w:r>
    </w:p>
    <w:p>
      <w:pPr>
        <w:pStyle w:val="Heading1"/>
      </w:pPr>
      <w:r>
        <w:t>ARTICLE IX — DISSOLUTION AND WINDING UP</w:t>
      </w:r>
    </w:p>
    <w:p>
      <w:pPr>
        <w:spacing w:after="120"/>
      </w:pPr>
      <w:r>
        <w:rPr>
          <w:b w:val="0"/>
          <w:sz w:val="22"/>
        </w:rPr>
        <w:t>IX.1  Dissolution. The Company shall dissolve upon the written election of the Member or upon any event requiring dissolution under applicable law.</w:t>
      </w:r>
    </w:p>
    <w:p>
      <w:pPr>
        <w:spacing w:after="120"/>
      </w:pPr>
      <w:r>
        <w:rPr>
          <w:b w:val="0"/>
          <w:sz w:val="22"/>
        </w:rPr>
        <w:t>IX.2  Winding Up. Upon dissolution, the Company’s affairs shall be wound up, its assets liquidated, and the proceeds applied first to creditors (including members who are creditors) and then to the Member.</w:t>
      </w:r>
    </w:p>
    <w:p>
      <w:pPr>
        <w:spacing w:after="120"/>
      </w:pPr>
      <w:r>
        <w:rPr>
          <w:b w:val="0"/>
          <w:sz w:val="22"/>
        </w:rPr>
        <w:t>IX.3  Certificate of Dissolution. Upon completion of winding up, the person winding up shall file any certificate of dissolution or equivalent document required by applicable law.</w:t>
      </w:r>
    </w:p>
    <w:p>
      <w:pPr>
        <w:pStyle w:val="Heading1"/>
      </w:pPr>
      <w:r>
        <w:t>ARTICLE X — INDEMNIFICATION AND LIMITATION OF LIABILITY</w:t>
      </w:r>
    </w:p>
    <w:p>
      <w:pPr>
        <w:spacing w:after="120"/>
      </w:pPr>
      <w:r>
        <w:rPr>
          <w:b w:val="0"/>
          <w:sz w:val="22"/>
        </w:rPr>
        <w:t>X.1  Indemnification. To the fullest extent permitted by law, the Company shall indemnify the Member and each officer or agent of the Company against losses, claims, and expenses incurred by reason of any act or omission performed in good faith on behalf of the Company, except in cases of fraud, willful misconduct, or knowing violation of law.</w:t>
      </w:r>
    </w:p>
    <w:p>
      <w:pPr>
        <w:spacing w:after="120"/>
      </w:pPr>
      <w:r>
        <w:rPr>
          <w:b w:val="0"/>
          <w:sz w:val="22"/>
        </w:rPr>
        <w:t>X.2  Limitation of Liability. The Member shall not be liable to the Company for monetary damages for conduct as a member except for fraud, willful misconduct, or knowing violation of law.</w:t>
      </w:r>
    </w:p>
    <w:p>
      <w:pPr>
        <w:pStyle w:val="Heading1"/>
      </w:pPr>
      <w:r>
        <w:t>ARTICLE XI — MISCELLANEOUS</w:t>
      </w:r>
    </w:p>
    <w:p>
      <w:pPr>
        <w:spacing w:after="120"/>
      </w:pPr>
      <w:r>
        <w:rPr>
          <w:b w:val="0"/>
          <w:sz w:val="22"/>
        </w:rPr>
        <w:t>XI.1  Governing Law. This Agreement shall be governed by and construed in accordance with the laws of the Company’s state of formation, without regard to conflict-of-laws principles.</w:t>
      </w:r>
    </w:p>
    <w:p>
      <w:pPr>
        <w:spacing w:after="120"/>
      </w:pPr>
      <w:r>
        <w:rPr>
          <w:b w:val="0"/>
          <w:sz w:val="22"/>
        </w:rPr>
        <w:t>XI.2  Amendment. This Agreement may be amended only in a writing executed by the Member.</w:t>
      </w:r>
    </w:p>
    <w:p>
      <w:pPr>
        <w:spacing w:after="120"/>
      </w:pPr>
      <w:r>
        <w:rPr>
          <w:b w:val="0"/>
          <w:sz w:val="22"/>
        </w:rPr>
        <w:t>XI.3  Severability. If any provision of this Agreement is held invalid or unenforceable, the remaining provisions shall continue in full force and effect.</w:t>
      </w:r>
    </w:p>
    <w:p>
      <w:pPr>
        <w:spacing w:after="120"/>
      </w:pPr>
      <w:r>
        <w:rPr>
          <w:b w:val="0"/>
          <w:sz w:val="22"/>
        </w:rPr>
        <w:t>XI.4  Entire Agreement. This Agreement constitutes the entire agreement of the Member with respect to the subject matter hereof and supersedes all prior agreements and understandings.</w:t>
      </w:r>
    </w:p>
    <w:p>
      <w:pPr>
        <w:pStyle w:val="Heading1"/>
      </w:pPr>
      <w:r>
        <w:t>SIGNATURES</w:t>
      </w:r>
    </w:p>
    <w:p>
      <w:pPr>
        <w:spacing w:after="320"/>
      </w:pPr>
      <w:r>
        <w:rPr>
          <w:b w:val="0"/>
          <w:sz w:val="22"/>
        </w:rPr>
        <w:t>IN WITNESS WHEREOF, the undersigned Member has executed this Agreement as of the Effective Date.</w:t>
      </w:r>
    </w:p>
    <w:p>
      <w:pPr>
        <w:spacing w:after="40"/>
      </w:pPr>
      <w:r>
        <w:rPr>
          <w:b w:val="0"/>
          <w:sz w:val="22"/>
        </w:rPr>
        <w:t>Signature: ________________________________________</w:t>
      </w:r>
    </w:p>
    <w:p>
      <w:pPr>
        <w:spacing w:after="40"/>
      </w:pPr>
      <w:r>
        <w:rPr>
          <w:b w:val="0"/>
          <w:sz w:val="22"/>
        </w:rPr>
        <w:t>Printed Name: __________________________________</w:t>
      </w:r>
    </w:p>
    <w:p>
      <w:pPr>
        <w:spacing w:after="280"/>
      </w:pPr>
      <w:r>
        <w:rPr>
          <w:b w:val="0"/>
          <w:sz w:val="22"/>
        </w:rPr>
        <w:t>Date: __________________________________________</w:t>
      </w:r>
    </w:p>
    <w:p/>
    <w:p>
      <w:pPr>
        <w:spacing w:after="120"/>
      </w:pPr>
      <w:r>
        <w:rPr>
          <w:b w:val="0"/>
          <w:sz w:val="18"/>
        </w:rPr>
        <w:t>This template is provided by StartBusinessByState.com for general informational purposes only and is not legal advice. Laws vary by state and change over time. Consider having an attorney licensed in your state review any operating agreement before you rely on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